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CEE" w14:textId="77777777" w:rsidR="00B41655" w:rsidRPr="00B41655" w:rsidRDefault="00B41655" w:rsidP="00B41655">
      <w:pPr>
        <w:pStyle w:val="verse"/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  <w:r w:rsidRPr="00B41655">
        <w:rPr>
          <w:b/>
          <w:bCs/>
          <w:color w:val="000000"/>
          <w:u w:val="single"/>
          <w:shd w:val="clear" w:color="auto" w:fill="FFFFFF"/>
        </w:rPr>
        <w:t xml:space="preserve">Mt 19, 16-26 </w:t>
      </w:r>
    </w:p>
    <w:p w14:paraId="1A497176" w14:textId="77777777" w:rsidR="00B41655" w:rsidRPr="00F435B2" w:rsidRDefault="00B41655" w:rsidP="00B41655">
      <w:pPr>
        <w:pStyle w:val="verse"/>
        <w:shd w:val="clear" w:color="auto" w:fill="FFFFFF"/>
        <w:jc w:val="both"/>
        <w:rPr>
          <w:color w:val="000000"/>
        </w:rPr>
      </w:pPr>
      <w:r w:rsidRPr="00B41655">
        <w:rPr>
          <w:color w:val="000000"/>
          <w:shd w:val="clear" w:color="auto" w:fill="FFFFFF"/>
        </w:rPr>
        <w:t>„</w:t>
      </w:r>
      <w:r w:rsidRPr="00F435B2">
        <w:rPr>
          <w:color w:val="000000"/>
        </w:rPr>
        <w:t xml:space="preserve">Odament hozzá valaki, és ezt kérdezte: Mester, mi </w:t>
      </w:r>
      <w:r w:rsidRPr="00F435B2">
        <w:rPr>
          <w:b/>
          <w:bCs/>
          <w:color w:val="000000"/>
          <w:u w:val="single"/>
        </w:rPr>
        <w:t xml:space="preserve">jót </w:t>
      </w:r>
      <w:r w:rsidRPr="00F435B2">
        <w:rPr>
          <w:color w:val="000000"/>
        </w:rPr>
        <w:t xml:space="preserve">tegyek, hogy örök életet nyerjek?” Ő pedig azt felelte neki: Miért kérdezel engem a </w:t>
      </w:r>
      <w:r w:rsidRPr="00F435B2">
        <w:rPr>
          <w:b/>
          <w:bCs/>
          <w:color w:val="000000"/>
          <w:u w:val="single"/>
        </w:rPr>
        <w:t>jóról?</w:t>
      </w:r>
      <w:r w:rsidRPr="00F435B2">
        <w:rPr>
          <w:color w:val="000000"/>
        </w:rPr>
        <w:t xml:space="preserve"> Csak </w:t>
      </w:r>
      <w:r w:rsidRPr="00F435B2">
        <w:rPr>
          <w:b/>
          <w:bCs/>
          <w:color w:val="000000"/>
          <w:u w:val="single"/>
        </w:rPr>
        <w:t xml:space="preserve">egy van, aki jó. </w:t>
      </w:r>
      <w:r w:rsidRPr="00F435B2">
        <w:rPr>
          <w:color w:val="000000"/>
        </w:rPr>
        <w:t xml:space="preserve">Ha pedig be akarsz menni </w:t>
      </w:r>
      <w:r w:rsidRPr="00F435B2">
        <w:rPr>
          <w:b/>
          <w:bCs/>
          <w:color w:val="000000"/>
          <w:u w:val="single"/>
        </w:rPr>
        <w:t>az életre</w:t>
      </w:r>
      <w:r w:rsidRPr="00F435B2">
        <w:rPr>
          <w:color w:val="000000"/>
        </w:rPr>
        <w:t xml:space="preserve">, tartsd meg a parancsolatokat! Az megkérdezte: Melyeket? Jézus így felelt: Ezeket: „Ne ölj, ne paráználkodj, ne lopj, ne tanúskodj hamisan, tiszteld apádat és anyádat”, és „szeresd felebarátodat, mint magadat!”  Az ifjú erre ezt mondta: Ezt mind megtartottam, mi </w:t>
      </w:r>
      <w:r w:rsidRPr="00F435B2">
        <w:rPr>
          <w:b/>
          <w:bCs/>
          <w:color w:val="000000"/>
          <w:u w:val="single"/>
        </w:rPr>
        <w:t xml:space="preserve">fogyatkozás </w:t>
      </w:r>
      <w:r w:rsidRPr="00F435B2">
        <w:rPr>
          <w:color w:val="000000"/>
        </w:rPr>
        <w:t xml:space="preserve">van még bennem? Jézus így válaszolt neki: Ha </w:t>
      </w:r>
      <w:r w:rsidRPr="00F435B2">
        <w:rPr>
          <w:b/>
          <w:bCs/>
          <w:color w:val="000000"/>
          <w:u w:val="single"/>
        </w:rPr>
        <w:t>tökéletes akarsz lenni</w:t>
      </w:r>
      <w:r w:rsidRPr="00F435B2">
        <w:rPr>
          <w:color w:val="000000"/>
        </w:rPr>
        <w:t>, menj el, add el vagyonodat, oszd szét a szegényeknek, és kincsed lesz a mennyben; azután jöjj, és kövess engem! Amikor hallotta az ifjú ezt a beszédet, szomorúan távozott, mert nagy vagyona volt.” Jézus pedig ezt mondta tanítványainak: Bizony mondom nektek, hogy gazdag ember nehezen megy majd be a mennyek országába. </w:t>
      </w:r>
      <w:r w:rsidRPr="00F435B2">
        <w:rPr>
          <w:b/>
          <w:bCs/>
          <w:color w:val="000000"/>
          <w:u w:val="single"/>
        </w:rPr>
        <w:t>Ismét mondom nektek</w:t>
      </w:r>
      <w:r w:rsidRPr="00F435B2">
        <w:rPr>
          <w:color w:val="000000"/>
        </w:rPr>
        <w:t xml:space="preserve">: Könnyebb a tevének a tű fokán átmenni, mint a gazdagnak az Isten országába bejutni. Amikor meghallották ezt a tanítványok, nagyon megdöbbentek, és így szóltak: Akkor kicsoda üdvözülhet? Jézus rájuk tekintett, és ezt mondta nekik: Embereknek ez lehetetlen, de Istennek minden lehetséges.” </w:t>
      </w:r>
    </w:p>
    <w:p w14:paraId="0E927E08" w14:textId="77777777" w:rsidR="00B41655" w:rsidRPr="00F435B2" w:rsidRDefault="00B41655" w:rsidP="00B41655">
      <w:pPr>
        <w:pStyle w:val="verse"/>
        <w:shd w:val="clear" w:color="auto" w:fill="FFFFFF"/>
        <w:jc w:val="both"/>
        <w:rPr>
          <w:b/>
          <w:bCs/>
          <w:color w:val="000000"/>
          <w:u w:val="single"/>
        </w:rPr>
      </w:pPr>
      <w:r w:rsidRPr="00F435B2">
        <w:rPr>
          <w:b/>
          <w:bCs/>
          <w:color w:val="000000"/>
          <w:u w:val="single"/>
        </w:rPr>
        <w:t>Lk 18, 18-30</w:t>
      </w:r>
    </w:p>
    <w:p w14:paraId="24F9BB4B" w14:textId="77777777" w:rsidR="00B41655" w:rsidRPr="00F435B2" w:rsidRDefault="00B41655" w:rsidP="00B41655">
      <w:pPr>
        <w:pStyle w:val="verse"/>
        <w:shd w:val="clear" w:color="auto" w:fill="FFFFFF"/>
        <w:jc w:val="both"/>
        <w:rPr>
          <w:color w:val="000000"/>
        </w:rPr>
      </w:pPr>
      <w:r w:rsidRPr="00F435B2">
        <w:rPr>
          <w:color w:val="000000"/>
        </w:rPr>
        <w:t xml:space="preserve">Akkor egy </w:t>
      </w:r>
      <w:r w:rsidRPr="00F435B2">
        <w:rPr>
          <w:b/>
          <w:bCs/>
          <w:color w:val="000000"/>
          <w:u w:val="single"/>
        </w:rPr>
        <w:t>előkelő ember</w:t>
      </w:r>
      <w:r w:rsidRPr="00F435B2">
        <w:rPr>
          <w:color w:val="000000"/>
        </w:rPr>
        <w:t xml:space="preserve"> megkérdezte tőle: Jó Mester, mit tegyek, hogy elnyerjem az örök életet? Jézus ezt válaszolta neki: Miért mondasz engem jónak? Senki sem jó az egy Istenen kívül. A </w:t>
      </w:r>
      <w:r w:rsidRPr="00F435B2">
        <w:rPr>
          <w:b/>
          <w:bCs/>
          <w:color w:val="000000"/>
          <w:u w:val="single"/>
        </w:rPr>
        <w:t>parancsolatokat</w:t>
      </w:r>
      <w:r w:rsidRPr="00F435B2">
        <w:rPr>
          <w:color w:val="000000"/>
        </w:rPr>
        <w:t xml:space="preserve"> tudod: „Ne paráználkodj, ne ölj, ne lopj, ne tanúskodj hamisan, tiszteld apádat és anyádat!” Ő pedig így szólt: Mindezeket megtartottam ifjúságomtól fogva. Amikor Jézus ezt hallotta, így szólt hozzá: </w:t>
      </w:r>
      <w:r w:rsidRPr="00F435B2">
        <w:rPr>
          <w:b/>
          <w:bCs/>
          <w:color w:val="000000"/>
          <w:u w:val="single"/>
        </w:rPr>
        <w:t>Még egy fogyatkozásod van</w:t>
      </w:r>
      <w:r w:rsidRPr="00F435B2">
        <w:rPr>
          <w:color w:val="000000"/>
        </w:rPr>
        <w:t xml:space="preserve">: add el minden vagyonodat, oszd szét a szegényeknek, és kincsed lesz a mennyben, azután jöjj, és kövess engem! Az pedig, mikor ezt meghallotta, nagyon elszomorodott, </w:t>
      </w:r>
      <w:r w:rsidRPr="00F435B2">
        <w:rPr>
          <w:b/>
          <w:bCs/>
          <w:color w:val="000000"/>
          <w:u w:val="single"/>
        </w:rPr>
        <w:t>mert igen gazdag volt. </w:t>
      </w:r>
      <w:r w:rsidRPr="00F435B2">
        <w:rPr>
          <w:color w:val="000000"/>
        </w:rPr>
        <w:t>Jézus ezt látva, így szólt: Milyen nehezen mennek be a gazdagok az Isten országába! Könnyebb a tevének a tű fokán átmenni, mint a gazdagnak az Isten országába bejutni. Akik pedig ezt hallották, megkérdezték: Akkor ki üdvözülhet?</w:t>
      </w:r>
      <w:r w:rsidRPr="00F435B2">
        <w:rPr>
          <w:b/>
          <w:bCs/>
          <w:color w:val="000000"/>
          <w:u w:val="single"/>
        </w:rPr>
        <w:t xml:space="preserve"> </w:t>
      </w:r>
      <w:r w:rsidRPr="00F435B2">
        <w:rPr>
          <w:color w:val="000000"/>
        </w:rPr>
        <w:t xml:space="preserve">Ő így felelt: Ami lehetetlen az embereknek, az Istennek lehetséges. Ekkor így szólt Péter: Íme, </w:t>
      </w:r>
      <w:r w:rsidRPr="00F435B2">
        <w:rPr>
          <w:b/>
          <w:bCs/>
          <w:color w:val="000000"/>
          <w:u w:val="single"/>
        </w:rPr>
        <w:t>mi otthagytunk mindent,</w:t>
      </w:r>
      <w:r w:rsidRPr="00F435B2">
        <w:rPr>
          <w:color w:val="000000"/>
        </w:rPr>
        <w:t xml:space="preserve"> és követtünk téged. Ő pedig ezt mondta nekik: Bizony mondom nektek, hogy mindaz, aki </w:t>
      </w:r>
      <w:r w:rsidRPr="00F435B2">
        <w:rPr>
          <w:b/>
          <w:bCs/>
          <w:color w:val="000000"/>
          <w:u w:val="single"/>
        </w:rPr>
        <w:t>elhagyta házát vagy feleségét, testvéreit, szüleit vagy gyermekeit</w:t>
      </w:r>
      <w:r w:rsidRPr="00F435B2">
        <w:rPr>
          <w:color w:val="000000"/>
        </w:rPr>
        <w:t xml:space="preserve"> az Isten országáért, az a sokszorosát kapja vissza már ebben a világban, a jövendő világban pedig az örök életet.</w:t>
      </w:r>
    </w:p>
    <w:p w14:paraId="1B93038A" w14:textId="77777777" w:rsidR="00B41655" w:rsidRPr="00F435B2" w:rsidRDefault="00B41655" w:rsidP="00B41655">
      <w:pPr>
        <w:pStyle w:val="verse"/>
        <w:shd w:val="clear" w:color="auto" w:fill="FFFFFF"/>
        <w:jc w:val="both"/>
        <w:rPr>
          <w:color w:val="000000"/>
          <w:shd w:val="clear" w:color="auto" w:fill="FFFFFF"/>
        </w:rPr>
      </w:pPr>
      <w:r w:rsidRPr="00F435B2">
        <w:rPr>
          <w:b/>
          <w:bCs/>
          <w:color w:val="000000"/>
          <w:u w:val="single"/>
        </w:rPr>
        <w:t>N</w:t>
      </w:r>
      <w:r>
        <w:rPr>
          <w:b/>
          <w:bCs/>
          <w:color w:val="000000"/>
          <w:u w:val="single"/>
        </w:rPr>
        <w:t>a</w:t>
      </w:r>
      <w:r w:rsidRPr="00F435B2">
        <w:rPr>
          <w:b/>
          <w:bCs/>
          <w:color w:val="000000"/>
          <w:u w:val="single"/>
        </w:rPr>
        <w:t>z</w:t>
      </w:r>
      <w:r>
        <w:rPr>
          <w:b/>
          <w:bCs/>
          <w:color w:val="000000"/>
          <w:u w:val="single"/>
        </w:rPr>
        <w:t>a</w:t>
      </w:r>
      <w:r w:rsidRPr="00F435B2">
        <w:rPr>
          <w:b/>
          <w:bCs/>
          <w:color w:val="000000"/>
          <w:u w:val="single"/>
        </w:rPr>
        <w:t>rénus evangélium (</w:t>
      </w:r>
      <w:r w:rsidRPr="00F435B2">
        <w:rPr>
          <w:color w:val="000000"/>
          <w:shd w:val="clear" w:color="auto" w:fill="FFFFFF"/>
        </w:rPr>
        <w:t>1947-ben Qumránban megtalált „apokrif” irat</w:t>
      </w:r>
      <w:r>
        <w:rPr>
          <w:color w:val="000000"/>
          <w:shd w:val="clear" w:color="auto" w:fill="FFFFFF"/>
        </w:rPr>
        <w:t xml:space="preserve"> - részlet</w:t>
      </w:r>
      <w:r w:rsidRPr="00F435B2">
        <w:rPr>
          <w:color w:val="000000"/>
          <w:shd w:val="clear" w:color="auto" w:fill="FFFFFF"/>
        </w:rPr>
        <w:t>)</w:t>
      </w:r>
    </w:p>
    <w:p w14:paraId="71FB900F" w14:textId="77777777" w:rsidR="00B41655" w:rsidRPr="00F435B2" w:rsidRDefault="00B41655" w:rsidP="00B41655">
      <w:pPr>
        <w:pStyle w:val="verse"/>
        <w:shd w:val="clear" w:color="auto" w:fill="FFFFFF"/>
        <w:jc w:val="both"/>
        <w:rPr>
          <w:b/>
          <w:bCs/>
          <w:color w:val="000000"/>
          <w:u w:val="single"/>
        </w:rPr>
      </w:pPr>
      <w:r w:rsidRPr="00F435B2">
        <w:rPr>
          <w:color w:val="000000"/>
          <w:shd w:val="clear" w:color="auto" w:fill="FFFFFF"/>
        </w:rPr>
        <w:t xml:space="preserve">"Azt mondta neki </w:t>
      </w:r>
      <w:r w:rsidRPr="00F435B2">
        <w:rPr>
          <w:b/>
          <w:bCs/>
          <w:color w:val="000000"/>
          <w:u w:val="single"/>
          <w:shd w:val="clear" w:color="auto" w:fill="FFFFFF"/>
        </w:rPr>
        <w:t>egy másik gazdag</w:t>
      </w:r>
      <w:r w:rsidRPr="00F435B2">
        <w:rPr>
          <w:color w:val="000000"/>
          <w:shd w:val="clear" w:color="auto" w:fill="FFFFFF"/>
        </w:rPr>
        <w:t xml:space="preserve">: Mester, mi jót tegyek, </w:t>
      </w:r>
      <w:r w:rsidRPr="00F435B2">
        <w:rPr>
          <w:b/>
          <w:bCs/>
          <w:color w:val="000000"/>
          <w:u w:val="single"/>
          <w:shd w:val="clear" w:color="auto" w:fill="FFFFFF"/>
        </w:rPr>
        <w:t>hogy éljek</w:t>
      </w:r>
      <w:r w:rsidRPr="00F435B2">
        <w:rPr>
          <w:color w:val="000000"/>
          <w:u w:val="single"/>
          <w:shd w:val="clear" w:color="auto" w:fill="FFFFFF"/>
        </w:rPr>
        <w:t>?</w:t>
      </w:r>
      <w:r w:rsidRPr="00F435B2">
        <w:rPr>
          <w:color w:val="000000"/>
          <w:shd w:val="clear" w:color="auto" w:fill="FFFFFF"/>
        </w:rPr>
        <w:t xml:space="preserve"> Azt válaszolta neki: Ember, </w:t>
      </w:r>
      <w:r w:rsidRPr="00F435B2">
        <w:rPr>
          <w:b/>
          <w:bCs/>
          <w:color w:val="000000"/>
          <w:u w:val="single"/>
          <w:shd w:val="clear" w:color="auto" w:fill="FFFFFF"/>
        </w:rPr>
        <w:t>tedd a törvényt és a prófétákat</w:t>
      </w:r>
      <w:r w:rsidRPr="00F435B2">
        <w:rPr>
          <w:color w:val="000000"/>
          <w:shd w:val="clear" w:color="auto" w:fill="FFFFFF"/>
        </w:rPr>
        <w:t xml:space="preserve">. Ő így válaszolt: megtettem. Mondotta neki: menj, add el mindenedet, amid csak van, oszd szét a szegények között, és jöjj, kövess engem. A gazdag azonban </w:t>
      </w:r>
      <w:r w:rsidRPr="00F435B2">
        <w:rPr>
          <w:b/>
          <w:bCs/>
          <w:color w:val="000000"/>
          <w:u w:val="single"/>
          <w:shd w:val="clear" w:color="auto" w:fill="FFFFFF"/>
        </w:rPr>
        <w:t>vakarni kezdte a fejét, és nem tetszett neki</w:t>
      </w:r>
      <w:r w:rsidRPr="00F435B2">
        <w:rPr>
          <w:color w:val="000000"/>
          <w:shd w:val="clear" w:color="auto" w:fill="FFFFFF"/>
        </w:rPr>
        <w:t xml:space="preserve">. Ezt mondotta neki az Úr: Hogy mondhatod, hogy megtettem a törvényt és a prófétákat? Hiszen meg van írva A TÖRVÉNYBEN: SZERESD FELEBARÁTODAT, MINT TENMAGADAT: ÉS ÍME, SOK TESTVÉREDNEK, </w:t>
      </w:r>
      <w:r>
        <w:rPr>
          <w:color w:val="000000"/>
          <w:shd w:val="clear" w:color="auto" w:fill="FFFFFF"/>
        </w:rPr>
        <w:t>Á</w:t>
      </w:r>
      <w:r w:rsidRPr="00F435B2">
        <w:rPr>
          <w:color w:val="000000"/>
          <w:shd w:val="clear" w:color="auto" w:fill="FFFFFF"/>
        </w:rPr>
        <w:t xml:space="preserve">BRAHÁM FIAINAK POR LEPI a ruháját, </w:t>
      </w:r>
      <w:r w:rsidRPr="00F435B2">
        <w:rPr>
          <w:b/>
          <w:bCs/>
          <w:color w:val="000000"/>
          <w:u w:val="single"/>
          <w:shd w:val="clear" w:color="auto" w:fill="FFFFFF"/>
        </w:rPr>
        <w:t xml:space="preserve">éhen halnak, a te házad pedig teli van mindenféle jóval, </w:t>
      </w:r>
      <w:r w:rsidRPr="00F435B2">
        <w:rPr>
          <w:color w:val="000000"/>
          <w:shd w:val="clear" w:color="auto" w:fill="FFFFFF"/>
        </w:rPr>
        <w:t>de sehogyan sem jut abból semm</w:t>
      </w:r>
      <w:r>
        <w:rPr>
          <w:color w:val="000000"/>
          <w:shd w:val="clear" w:color="auto" w:fill="FFFFFF"/>
        </w:rPr>
        <w:t>i. A</w:t>
      </w:r>
      <w:r w:rsidRPr="00F435B2">
        <w:rPr>
          <w:color w:val="000000"/>
          <w:shd w:val="clear" w:color="auto" w:fill="FFFFFF"/>
        </w:rPr>
        <w:t xml:space="preserve">zután megfordult, és így szólt tanítványához, Simonhoz, aki ott ült mellette: </w:t>
      </w:r>
      <w:r w:rsidRPr="00F435B2">
        <w:rPr>
          <w:b/>
          <w:bCs/>
          <w:color w:val="000000"/>
          <w:u w:val="single"/>
          <w:shd w:val="clear" w:color="auto" w:fill="FFFFFF"/>
        </w:rPr>
        <w:t>Simon, Jóna fia,</w:t>
      </w:r>
      <w:r w:rsidRPr="00F435B2">
        <w:rPr>
          <w:color w:val="000000"/>
          <w:shd w:val="clear" w:color="auto" w:fill="FFFFFF"/>
        </w:rPr>
        <w:t xml:space="preserve"> könnyebb a tevének átmennie a tű fokán, mint a gazdagnak bejutnia a mennyek országába."</w:t>
      </w:r>
    </w:p>
    <w:p w14:paraId="5AD281DD" w14:textId="77777777" w:rsidR="00B41655" w:rsidRDefault="00B41655" w:rsidP="00B41655">
      <w:pPr>
        <w:pStyle w:val="verse"/>
        <w:shd w:val="clear" w:color="auto" w:fill="FFFFFF"/>
        <w:jc w:val="both"/>
        <w:rPr>
          <w:b/>
          <w:bCs/>
          <w:color w:val="000000"/>
          <w:sz w:val="26"/>
          <w:szCs w:val="26"/>
          <w:u w:val="single"/>
        </w:rPr>
      </w:pPr>
    </w:p>
    <w:p w14:paraId="58CCE336" w14:textId="77777777" w:rsidR="00B41655" w:rsidRPr="00E42FB9" w:rsidRDefault="00B41655" w:rsidP="00B41655">
      <w:pPr>
        <w:pStyle w:val="verse"/>
        <w:shd w:val="clear" w:color="auto" w:fill="FFFFFF"/>
        <w:jc w:val="center"/>
        <w:rPr>
          <w:rFonts w:ascii="Bradley Hand ITC" w:hAnsi="Bradley Hand ITC"/>
          <w:b/>
          <w:bCs/>
          <w:color w:val="000000"/>
          <w:sz w:val="48"/>
          <w:szCs w:val="48"/>
        </w:rPr>
      </w:pPr>
      <w:r w:rsidRPr="00E42FB9">
        <w:rPr>
          <w:rFonts w:ascii="Bradley Hand ITC" w:hAnsi="Bradley Hand ITC"/>
          <w:b/>
          <w:bCs/>
          <w:color w:val="000000"/>
          <w:sz w:val="48"/>
          <w:szCs w:val="48"/>
        </w:rPr>
        <w:lastRenderedPageBreak/>
        <w:t>Bizonyítvány</w:t>
      </w:r>
    </w:p>
    <w:p w14:paraId="473565FC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</w:p>
    <w:p w14:paraId="66964671" w14:textId="77777777" w:rsidR="00B41655" w:rsidRPr="00E42FB9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b/>
          <w:bCs/>
          <w:color w:val="000000"/>
          <w:sz w:val="48"/>
          <w:szCs w:val="48"/>
          <w:u w:val="single"/>
        </w:rPr>
      </w:pPr>
      <w:r w:rsidRPr="00E42FB9">
        <w:rPr>
          <w:rFonts w:ascii="Bradley Hand ITC" w:hAnsi="Bradley Hand ITC"/>
          <w:b/>
          <w:bCs/>
          <w:color w:val="000000"/>
          <w:sz w:val="48"/>
          <w:szCs w:val="48"/>
          <w:u w:val="single"/>
        </w:rPr>
        <w:t>tárgy neve</w:t>
      </w:r>
      <w:r w:rsidRPr="00E42FB9">
        <w:rPr>
          <w:rFonts w:ascii="Bradley Hand ITC" w:hAnsi="Bradley Hand ITC"/>
          <w:b/>
          <w:bCs/>
          <w:color w:val="000000"/>
          <w:sz w:val="48"/>
          <w:szCs w:val="48"/>
        </w:rPr>
        <w:tab/>
      </w:r>
      <w:r w:rsidRPr="00E42FB9">
        <w:rPr>
          <w:rFonts w:ascii="Bradley Hand ITC" w:hAnsi="Bradley Hand ITC"/>
          <w:b/>
          <w:bCs/>
          <w:color w:val="000000"/>
          <w:sz w:val="48"/>
          <w:szCs w:val="48"/>
        </w:rPr>
        <w:tab/>
      </w:r>
      <w:r w:rsidRPr="00E42FB9">
        <w:rPr>
          <w:rFonts w:ascii="Bradley Hand ITC" w:hAnsi="Bradley Hand ITC"/>
          <w:b/>
          <w:bCs/>
          <w:color w:val="000000"/>
          <w:sz w:val="48"/>
          <w:szCs w:val="48"/>
        </w:rPr>
        <w:tab/>
      </w:r>
      <w:r w:rsidRPr="00E42FB9">
        <w:rPr>
          <w:rFonts w:ascii="Bradley Hand ITC" w:hAnsi="Bradley Hand ITC"/>
          <w:b/>
          <w:bCs/>
          <w:color w:val="000000"/>
          <w:sz w:val="48"/>
          <w:szCs w:val="48"/>
        </w:rPr>
        <w:tab/>
      </w:r>
      <w:r w:rsidRPr="00E42FB9">
        <w:rPr>
          <w:rFonts w:ascii="Bradley Hand ITC" w:hAnsi="Bradley Hand ITC"/>
          <w:b/>
          <w:bCs/>
          <w:color w:val="000000"/>
          <w:sz w:val="48"/>
          <w:szCs w:val="48"/>
        </w:rPr>
        <w:tab/>
      </w:r>
      <w:r w:rsidRPr="00E42FB9">
        <w:rPr>
          <w:rFonts w:ascii="Bradley Hand ITC" w:hAnsi="Bradley Hand ITC"/>
          <w:b/>
          <w:bCs/>
          <w:color w:val="000000"/>
          <w:sz w:val="48"/>
          <w:szCs w:val="48"/>
          <w:u w:val="single"/>
        </w:rPr>
        <w:t>osztályzat</w:t>
      </w:r>
    </w:p>
    <w:p w14:paraId="2E194B59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</w:p>
    <w:p w14:paraId="1B6C5732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magatartás</w:t>
      </w:r>
    </w:p>
    <w:p w14:paraId="2659E60B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szorgalom</w:t>
      </w:r>
    </w:p>
    <w:p w14:paraId="61DAF568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bibliaismeret</w:t>
      </w:r>
    </w:p>
    <w:p w14:paraId="28058693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 xml:space="preserve">hittan </w:t>
      </w:r>
    </w:p>
    <w:p w14:paraId="77088F8A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etika</w:t>
      </w:r>
    </w:p>
    <w:p w14:paraId="1E778EAE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közgazdaságtan</w:t>
      </w:r>
    </w:p>
    <w:p w14:paraId="6BA97244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jogi ismeretek</w:t>
      </w:r>
    </w:p>
    <w:p w14:paraId="5E91785D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retorika</w:t>
      </w:r>
    </w:p>
    <w:p w14:paraId="0DC363BA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protokoll</w:t>
      </w:r>
    </w:p>
    <w:p w14:paraId="1BD5852E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diplomácia</w:t>
      </w:r>
    </w:p>
    <w:p w14:paraId="6962E86F" w14:textId="77777777" w:rsidR="00B41655" w:rsidRDefault="00B41655" w:rsidP="00B41655">
      <w:pPr>
        <w:pStyle w:val="verse"/>
        <w:shd w:val="clear" w:color="auto" w:fill="FFFFFF"/>
        <w:jc w:val="both"/>
        <w:rPr>
          <w:rFonts w:ascii="Bradley Hand ITC" w:hAnsi="Bradley Hand ITC"/>
          <w:color w:val="000000"/>
          <w:sz w:val="48"/>
          <w:szCs w:val="48"/>
        </w:rPr>
      </w:pPr>
      <w:r>
        <w:rPr>
          <w:rFonts w:ascii="Bradley Hand ITC" w:hAnsi="Bradley Hand ITC"/>
          <w:color w:val="000000"/>
          <w:sz w:val="48"/>
          <w:szCs w:val="48"/>
        </w:rPr>
        <w:t>empátia-gyakorlat</w:t>
      </w:r>
    </w:p>
    <w:p w14:paraId="37283143" w14:textId="264E756B" w:rsidR="00196C95" w:rsidRPr="00B41655" w:rsidRDefault="00B41655" w:rsidP="00B41655">
      <w:pPr>
        <w:pStyle w:val="verse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Bradley Hand ITC" w:hAnsi="Bradley Hand ITC"/>
          <w:color w:val="000000"/>
          <w:sz w:val="48"/>
          <w:szCs w:val="48"/>
        </w:rPr>
        <w:t>testnevelés</w:t>
      </w:r>
    </w:p>
    <w:sectPr w:rsidR="00196C95" w:rsidRPr="00B41655" w:rsidSect="00B4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AF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922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568"/>
    <w:rsid w:val="00025C63"/>
    <w:rsid w:val="000938EF"/>
    <w:rsid w:val="000C20D4"/>
    <w:rsid w:val="000D6EB4"/>
    <w:rsid w:val="000F50E3"/>
    <w:rsid w:val="00114DD9"/>
    <w:rsid w:val="00130A47"/>
    <w:rsid w:val="00135E70"/>
    <w:rsid w:val="001820F8"/>
    <w:rsid w:val="00196C95"/>
    <w:rsid w:val="001B2112"/>
    <w:rsid w:val="001D5005"/>
    <w:rsid w:val="001E25FB"/>
    <w:rsid w:val="00215D22"/>
    <w:rsid w:val="00227EF1"/>
    <w:rsid w:val="002302CC"/>
    <w:rsid w:val="00271E81"/>
    <w:rsid w:val="002C4CA1"/>
    <w:rsid w:val="002D097C"/>
    <w:rsid w:val="00355379"/>
    <w:rsid w:val="0038027B"/>
    <w:rsid w:val="00380579"/>
    <w:rsid w:val="00397EBE"/>
    <w:rsid w:val="003B50DF"/>
    <w:rsid w:val="003E4D20"/>
    <w:rsid w:val="004715A6"/>
    <w:rsid w:val="004B717B"/>
    <w:rsid w:val="005A581B"/>
    <w:rsid w:val="005F5C4E"/>
    <w:rsid w:val="00632EE2"/>
    <w:rsid w:val="00695115"/>
    <w:rsid w:val="006F510A"/>
    <w:rsid w:val="007B5394"/>
    <w:rsid w:val="007F67C8"/>
    <w:rsid w:val="007F7449"/>
    <w:rsid w:val="00820A99"/>
    <w:rsid w:val="00856ACD"/>
    <w:rsid w:val="008647A0"/>
    <w:rsid w:val="0094538C"/>
    <w:rsid w:val="00956CB9"/>
    <w:rsid w:val="00974F97"/>
    <w:rsid w:val="00AA423F"/>
    <w:rsid w:val="00AF1E11"/>
    <w:rsid w:val="00B07223"/>
    <w:rsid w:val="00B41655"/>
    <w:rsid w:val="00BE6FA2"/>
    <w:rsid w:val="00C727FB"/>
    <w:rsid w:val="00C7381E"/>
    <w:rsid w:val="00C91622"/>
    <w:rsid w:val="00CB342D"/>
    <w:rsid w:val="00CB5FD1"/>
    <w:rsid w:val="00CD1F74"/>
    <w:rsid w:val="00CD5A21"/>
    <w:rsid w:val="00D36106"/>
    <w:rsid w:val="00DF0416"/>
    <w:rsid w:val="00E92EDA"/>
    <w:rsid w:val="00E93920"/>
    <w:rsid w:val="00EA33F2"/>
    <w:rsid w:val="00EC257F"/>
    <w:rsid w:val="00ED6430"/>
    <w:rsid w:val="00EE2B6B"/>
    <w:rsid w:val="00F459B4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3B4E"/>
  <w15:chartTrackingRefBased/>
  <w15:docId w15:val="{C7D3EEC4-76C1-4CB8-A78D-22AA004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756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FD7568"/>
  </w:style>
  <w:style w:type="paragraph" w:customStyle="1" w:styleId="verse">
    <w:name w:val="verse"/>
    <w:basedOn w:val="Norml"/>
    <w:rsid w:val="004B717B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4B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DAAC0-5B0F-4C3F-BE54-E0B25D5D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Gáncs Tamás</dc:creator>
  <cp:keywords/>
  <cp:lastModifiedBy>GáncsTamás</cp:lastModifiedBy>
  <cp:revision>2</cp:revision>
  <cp:lastPrinted>2023-09-29T11:28:00Z</cp:lastPrinted>
  <dcterms:created xsi:type="dcterms:W3CDTF">2024-03-05T10:46:00Z</dcterms:created>
  <dcterms:modified xsi:type="dcterms:W3CDTF">2024-03-05T10:46:00Z</dcterms:modified>
</cp:coreProperties>
</file>